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R4-2007269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RRM requirements in IAB TR and 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6.5.3.1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94-e-bis,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spacing w:before="0" w:beforeAutospacing="0" w:afterAutospacing="0"/>
              <w:ind w:left="0" w:right="0"/>
              <w:rPr>
                <w:rFonts w:hint="default"/>
                <w:sz w:val="20"/>
                <w:lang w:val="sv-SE"/>
              </w:rPr>
            </w:pPr>
          </w:p>
          <w:p>
            <w:pPr>
              <w:pStyle w:val="3"/>
              <w:widowControl/>
              <w:suppressLineNumbers w:val="0"/>
              <w:spacing w:beforeAutospacing="0" w:afterAutospacing="0"/>
              <w:ind w:left="0" w:right="0"/>
              <w:rPr>
                <w:rFonts w:hint="default"/>
              </w:rPr>
            </w:pPr>
            <w:r>
              <w:rPr>
                <w:rFonts w:hint="default"/>
              </w:rPr>
              <w:t>Inclusion of RRM requirements in IAB TR</w:t>
            </w:r>
          </w:p>
          <w:p>
            <w:pPr>
              <w:pStyle w:val="4"/>
              <w:widowControl/>
              <w:suppressLineNumbers w:val="0"/>
              <w:spacing w:beforeAutospacing="0" w:afterAutospacing="0"/>
              <w:ind w:left="0" w:right="0"/>
              <w:rPr>
                <w:rFonts w:hint="default"/>
                <w:highlight w:val="yellow"/>
              </w:rPr>
            </w:pPr>
            <w:r>
              <w:rPr>
                <w:rFonts w:hint="default"/>
                <w:highlight w:val="yellow"/>
              </w:rPr>
              <w:t>Tentative agreement</w:t>
            </w:r>
          </w:p>
          <w:p>
            <w:pPr>
              <w:pStyle w:val="26"/>
              <w:keepNext w:val="0"/>
              <w:keepLines w:val="0"/>
              <w:widowControl/>
              <w:numPr>
                <w:ilvl w:val="0"/>
                <w:numId w:val="6"/>
              </w:numPr>
              <w:suppressLineNumbers w:val="0"/>
              <w:spacing w:before="0" w:beforeAutospacing="0" w:afterAutospacing="0"/>
              <w:ind w:right="0"/>
              <w:rPr>
                <w:rFonts w:hint="default" w:cs="Times New Roman"/>
                <w:sz w:val="20"/>
                <w:szCs w:val="20"/>
                <w:highlight w:val="yellow"/>
                <w:lang w:val="sv-SE"/>
              </w:rPr>
            </w:pPr>
            <w:r>
              <w:rPr>
                <w:rFonts w:hint="default" w:cs="Times New Roman"/>
                <w:sz w:val="20"/>
                <w:szCs w:val="20"/>
                <w:highlight w:val="yellow"/>
                <w:lang w:val="sv-SE"/>
              </w:rPr>
              <w:t>RRM requirements will be captured in IAB TR</w:t>
            </w:r>
          </w:p>
          <w:p>
            <w:pPr>
              <w:pStyle w:val="26"/>
              <w:keepNext w:val="0"/>
              <w:keepLines w:val="0"/>
              <w:widowControl/>
              <w:numPr>
                <w:ilvl w:val="0"/>
                <w:numId w:val="6"/>
              </w:numPr>
              <w:suppressLineNumbers w:val="0"/>
              <w:spacing w:before="0" w:beforeAutospacing="0" w:afterAutospacing="0"/>
              <w:ind w:right="0"/>
              <w:rPr>
                <w:rFonts w:hint="default" w:cs="Times New Roman"/>
                <w:sz w:val="20"/>
                <w:szCs w:val="20"/>
                <w:highlight w:val="yellow"/>
                <w:lang w:val="sv-SE"/>
              </w:rPr>
            </w:pPr>
            <w:r>
              <w:rPr>
                <w:rFonts w:hint="default" w:cs="Times New Roman"/>
                <w:sz w:val="20"/>
                <w:szCs w:val="20"/>
                <w:highlight w:val="yellow"/>
                <w:lang w:val="sv-SE"/>
              </w:rPr>
              <w:t>The description of RRM requirements from IAB TS will be reused in the relevant sections of IAB TR.</w:t>
            </w:r>
          </w:p>
          <w:p>
            <w:pPr>
              <w:pStyle w:val="26"/>
              <w:keepNext w:val="0"/>
              <w:keepLines w:val="0"/>
              <w:widowControl/>
              <w:numPr>
                <w:ilvl w:val="1"/>
                <w:numId w:val="6"/>
              </w:numPr>
              <w:suppressLineNumbers w:val="0"/>
              <w:spacing w:before="0" w:beforeAutospacing="0" w:afterAutospacing="0"/>
              <w:ind w:right="0"/>
              <w:rPr>
                <w:rFonts w:hint="default" w:cs="Times New Roman"/>
                <w:sz w:val="20"/>
                <w:szCs w:val="20"/>
                <w:highlight w:val="yellow"/>
                <w:lang w:val="sv-SE"/>
              </w:rPr>
            </w:pPr>
            <w:r>
              <w:rPr>
                <w:rFonts w:hint="default" w:cs="Times New Roman"/>
                <w:sz w:val="20"/>
                <w:szCs w:val="20"/>
                <w:highlight w:val="yellow"/>
              </w:rPr>
              <w:t>Companies are encouraged to briefly describe the rationale behind introducing these requirements</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rPr>
                <w:rFonts w:hint="default" w:eastAsia="宋体"/>
                <w:sz w:val="22"/>
                <w:szCs w:val="22"/>
                <w:vertAlign w:val="baseline"/>
                <w:lang w:val="en-US" w:eastAsia="zh-CN"/>
              </w:rPr>
            </w:pP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In our view, since the RRM requirements are already included in the TS 38.174, there</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no strong motivation to capture it in the TR. Note that the RRM requirements are studied mainly during the work item period, which makes it more suitable to be captured in TS not TR. We don</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t see any inconvenience by capturing the RRM requirements only in TS 38.174.</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What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more, capturing a same set of requirements in multiple documents (TR and TS) will increase maintenance work. If companies wish to modify some requirements or correct some errors, at least 2 Cat F CRs need to be prepared.</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 xml:space="preserve">Observation 1: </w:t>
      </w:r>
      <w:r>
        <w:rPr>
          <w:rFonts w:hint="eastAsia" w:eastAsia="宋体" w:cs="Times New Roman"/>
          <w:sz w:val="22"/>
          <w:szCs w:val="22"/>
          <w:lang w:val="en-US" w:eastAsia="zh-CN" w:bidi="ar-SA"/>
        </w:rPr>
        <w:t>Capturing a same set of requirements in multiple documents (TR and TS) will increase maintenance work.</w:t>
      </w:r>
    </w:p>
    <w:p>
      <w:pPr>
        <w:numPr>
          <w:ilvl w:val="0"/>
          <w:numId w:val="0"/>
        </w:numPr>
        <w:rPr>
          <w:rFonts w:hint="eastAsia" w:eastAsia="宋体" w:cs="Times New Roman"/>
          <w:sz w:val="22"/>
          <w:szCs w:val="22"/>
          <w:lang w:val="en-US" w:eastAsia="zh-CN" w:bidi="ar-SA"/>
        </w:rPr>
      </w:pPr>
      <w:r>
        <w:rPr>
          <w:rFonts w:hint="eastAsia" w:eastAsia="宋体" w:cs="Times New Roman"/>
          <w:sz w:val="22"/>
          <w:szCs w:val="22"/>
          <w:lang w:val="en-US" w:eastAsia="zh-CN" w:bidi="ar-SA"/>
        </w:rPr>
        <w:t>Also, having a same set of requirements in different documents puzzle the readers.</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 xml:space="preserve">Observation 2: </w:t>
      </w:r>
      <w:r>
        <w:rPr>
          <w:rFonts w:hint="eastAsia" w:eastAsia="宋体" w:cs="Times New Roman"/>
          <w:sz w:val="22"/>
          <w:szCs w:val="22"/>
          <w:lang w:val="en-US" w:eastAsia="zh-CN" w:bidi="ar-SA"/>
        </w:rPr>
        <w:t>It puzzles readers to have a same set of requirements in different documents.</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Based on the above Observations, we propose to adopt Option 2 from the WF of last meeting, which is:</w:t>
      </w:r>
    </w:p>
    <w:p>
      <w:pPr>
        <w:pStyle w:val="36"/>
        <w:rPr>
          <w:sz w:val="22"/>
          <w:szCs w:val="22"/>
          <w:lang w:eastAsia="zh-CN"/>
        </w:rPr>
      </w:pPr>
      <w:r>
        <w:rPr>
          <w:rFonts w:hint="eastAsia" w:eastAsiaTheme="minorEastAsia"/>
          <w:sz w:val="20"/>
          <w:szCs w:val="20"/>
          <w:lang w:val="en-US" w:eastAsia="zh-CN"/>
        </w:rPr>
        <w:t>Don</w:t>
      </w:r>
      <w:r>
        <w:rPr>
          <w:rFonts w:hint="default" w:eastAsiaTheme="minorEastAsia"/>
          <w:sz w:val="20"/>
          <w:szCs w:val="20"/>
          <w:lang w:val="en-US" w:eastAsia="zh-CN"/>
        </w:rPr>
        <w:t>’</w:t>
      </w:r>
      <w:r>
        <w:rPr>
          <w:rFonts w:hint="eastAsia" w:eastAsiaTheme="minorEastAsia"/>
          <w:sz w:val="20"/>
          <w:szCs w:val="20"/>
          <w:lang w:val="en-US" w:eastAsia="zh-CN"/>
        </w:rPr>
        <w:t xml:space="preserve">t capture </w:t>
      </w:r>
      <w:r>
        <w:rPr>
          <w:rFonts w:eastAsiaTheme="minorEastAsia"/>
          <w:sz w:val="20"/>
          <w:szCs w:val="20"/>
        </w:rPr>
        <w:t>RRM requirements in IAB TR</w:t>
      </w:r>
      <w:r>
        <w:rPr>
          <w:sz w:val="22"/>
          <w:szCs w:val="22"/>
          <w:lang w:eastAsia="zh-CN"/>
        </w:rPr>
        <w:t>.</w:t>
      </w:r>
    </w:p>
    <w:p>
      <w:pPr>
        <w:pStyle w:val="28"/>
        <w:jc w:val="both"/>
      </w:pPr>
      <w:r>
        <w:rPr>
          <w:rFonts w:hint="eastAsia"/>
          <w:lang w:val="en-US" w:eastAsia="zh-CN"/>
        </w:rPr>
        <w:t>3</w:t>
      </w:r>
      <w:r>
        <w:tab/>
      </w:r>
      <w:r>
        <w:t>Conclusion</w:t>
      </w:r>
    </w:p>
    <w:p>
      <w:pPr>
        <w:numPr>
          <w:ilvl w:val="0"/>
          <w:numId w:val="0"/>
        </w:numPr>
        <w:rPr>
          <w:rFonts w:hint="default" w:eastAsia="宋体" w:cs="Times New Roman"/>
          <w:sz w:val="22"/>
          <w:szCs w:val="22"/>
          <w:lang w:val="en-US" w:eastAsia="zh-CN" w:bidi="ar-SA"/>
        </w:rPr>
      </w:pPr>
      <w:r>
        <w:rPr>
          <w:rFonts w:hint="eastAsia" w:eastAsia="宋体" w:cs="Times New Roman"/>
          <w:b/>
          <w:bCs/>
          <w:sz w:val="22"/>
          <w:szCs w:val="22"/>
          <w:lang w:val="en-US" w:eastAsia="zh-CN" w:bidi="ar-SA"/>
        </w:rPr>
        <w:t xml:space="preserve">Observation 1: </w:t>
      </w:r>
      <w:r>
        <w:rPr>
          <w:rFonts w:hint="eastAsia" w:eastAsia="宋体" w:cs="Times New Roman"/>
          <w:sz w:val="22"/>
          <w:szCs w:val="22"/>
          <w:lang w:val="en-US" w:eastAsia="zh-CN" w:bidi="ar-SA"/>
        </w:rPr>
        <w:t>Capturing a same set of requirements in multiple documents (TR and TS) will increase maintenance work.</w:t>
      </w:r>
    </w:p>
    <w:p>
      <w:pPr>
        <w:numPr>
          <w:ilvl w:val="0"/>
          <w:numId w:val="0"/>
        </w:numPr>
        <w:rPr>
          <w:sz w:val="22"/>
          <w:szCs w:val="22"/>
          <w:lang w:eastAsia="zh-CN"/>
        </w:rPr>
      </w:pPr>
      <w:r>
        <w:rPr>
          <w:rFonts w:hint="eastAsia" w:eastAsia="宋体" w:cs="Times New Roman"/>
          <w:b/>
          <w:bCs/>
          <w:sz w:val="22"/>
          <w:szCs w:val="22"/>
          <w:lang w:val="en-US" w:eastAsia="zh-CN" w:bidi="ar-SA"/>
        </w:rPr>
        <w:t xml:space="preserve">Observation 2: </w:t>
      </w:r>
      <w:r>
        <w:rPr>
          <w:rFonts w:hint="eastAsia" w:eastAsia="宋体" w:cs="Times New Roman"/>
          <w:sz w:val="22"/>
          <w:szCs w:val="22"/>
          <w:lang w:val="en-US" w:eastAsia="zh-CN" w:bidi="ar-SA"/>
        </w:rPr>
        <w:t>It puzzles readers to have a same set of requirements in different documents.</w:t>
      </w:r>
    </w:p>
    <w:p>
      <w:pPr>
        <w:pStyle w:val="36"/>
        <w:numPr>
          <w:ilvl w:val="0"/>
          <w:numId w:val="0"/>
        </w:numPr>
        <w:rPr>
          <w:rFonts w:hint="eastAsia"/>
          <w:sz w:val="22"/>
          <w:szCs w:val="22"/>
          <w:lang w:eastAsia="zh-CN"/>
        </w:rPr>
      </w:pPr>
    </w:p>
    <w:p>
      <w:pPr>
        <w:pStyle w:val="36"/>
        <w:numPr>
          <w:ilvl w:val="0"/>
          <w:numId w:val="0"/>
        </w:numPr>
        <w:rPr>
          <w:sz w:val="22"/>
          <w:szCs w:val="22"/>
          <w:lang w:eastAsia="zh-CN"/>
        </w:rPr>
      </w:pPr>
      <w:r>
        <w:rPr>
          <w:rFonts w:hint="eastAsia"/>
          <w:sz w:val="22"/>
          <w:szCs w:val="22"/>
          <w:lang w:eastAsia="zh-CN"/>
        </w:rPr>
        <w:t xml:space="preserve">Proposal 1: </w:t>
      </w:r>
      <w:r>
        <w:rPr>
          <w:rFonts w:hint="eastAsia" w:eastAsiaTheme="minorEastAsia"/>
          <w:sz w:val="20"/>
          <w:szCs w:val="20"/>
          <w:lang w:val="en-US" w:eastAsia="zh-CN"/>
        </w:rPr>
        <w:t>Don</w:t>
      </w:r>
      <w:r>
        <w:rPr>
          <w:rFonts w:hint="default" w:eastAsiaTheme="minorEastAsia"/>
          <w:sz w:val="20"/>
          <w:szCs w:val="20"/>
          <w:lang w:val="en-US" w:eastAsia="zh-CN"/>
        </w:rPr>
        <w:t>’</w:t>
      </w:r>
      <w:r>
        <w:rPr>
          <w:rFonts w:hint="eastAsia" w:eastAsiaTheme="minorEastAsia"/>
          <w:sz w:val="20"/>
          <w:szCs w:val="20"/>
          <w:lang w:val="en-US" w:eastAsia="zh-CN"/>
        </w:rPr>
        <w:t xml:space="preserve">t capture </w:t>
      </w:r>
      <w:r>
        <w:rPr>
          <w:rFonts w:eastAsiaTheme="minorEastAsia"/>
          <w:sz w:val="20"/>
          <w:szCs w:val="20"/>
        </w:rPr>
        <w:t>RRM requirements in IAB TR</w:t>
      </w:r>
      <w:r>
        <w:rPr>
          <w:sz w:val="22"/>
          <w:szCs w:val="22"/>
          <w:lang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lang w:val="en-GB"/>
        </w:rPr>
      </w:pPr>
      <w:r>
        <w:rPr>
          <w:rFonts w:hint="eastAsia"/>
          <w:lang w:val="en-GB"/>
        </w:rPr>
        <w:t>R4-20053</w:t>
      </w:r>
      <w:r>
        <w:rPr>
          <w:rFonts w:hint="eastAsia" w:eastAsia="宋体"/>
          <w:lang w:val="en-US" w:eastAsia="zh-CN"/>
        </w:rPr>
        <w:t>1</w:t>
      </w:r>
      <w:r>
        <w:rPr>
          <w:rFonts w:hint="eastAsia"/>
          <w:lang w:val="en-GB"/>
        </w:rPr>
        <w:t>8</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6">
    <w:nsid w:val="7F716C51"/>
    <w:multiLevelType w:val="multilevel"/>
    <w:tmpl w:val="7F716C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32F3"/>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651114"/>
    <w:rsid w:val="04C77D0A"/>
    <w:rsid w:val="04D5204C"/>
    <w:rsid w:val="04F70E27"/>
    <w:rsid w:val="05816336"/>
    <w:rsid w:val="059B61E4"/>
    <w:rsid w:val="05A86143"/>
    <w:rsid w:val="06105DAC"/>
    <w:rsid w:val="069766CC"/>
    <w:rsid w:val="07502CA2"/>
    <w:rsid w:val="078B76F8"/>
    <w:rsid w:val="079D410C"/>
    <w:rsid w:val="082A214B"/>
    <w:rsid w:val="08641205"/>
    <w:rsid w:val="08935729"/>
    <w:rsid w:val="08AC4FE1"/>
    <w:rsid w:val="08C654D4"/>
    <w:rsid w:val="08CC5D10"/>
    <w:rsid w:val="090062DC"/>
    <w:rsid w:val="09484892"/>
    <w:rsid w:val="099F556C"/>
    <w:rsid w:val="0A182C8A"/>
    <w:rsid w:val="0A5763D4"/>
    <w:rsid w:val="0A7BF868"/>
    <w:rsid w:val="0B110A9C"/>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17F51CC"/>
    <w:rsid w:val="12170E3F"/>
    <w:rsid w:val="12814762"/>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9E207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9841237"/>
    <w:rsid w:val="1A0B3A21"/>
    <w:rsid w:val="1A485F4E"/>
    <w:rsid w:val="1A9E1F80"/>
    <w:rsid w:val="1B3329B5"/>
    <w:rsid w:val="1B6237C1"/>
    <w:rsid w:val="1B7F155B"/>
    <w:rsid w:val="1BA53662"/>
    <w:rsid w:val="1C9823D7"/>
    <w:rsid w:val="1CD01A86"/>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46528E"/>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2C3077"/>
    <w:rsid w:val="2A394321"/>
    <w:rsid w:val="2A3D75B1"/>
    <w:rsid w:val="2AE26D3F"/>
    <w:rsid w:val="2AF8774D"/>
    <w:rsid w:val="2B0F6E62"/>
    <w:rsid w:val="2BB04900"/>
    <w:rsid w:val="2C3A3275"/>
    <w:rsid w:val="2D233DAE"/>
    <w:rsid w:val="2D8E403A"/>
    <w:rsid w:val="2E145F76"/>
    <w:rsid w:val="2E2C6889"/>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A61B7A"/>
    <w:rsid w:val="32B33B5A"/>
    <w:rsid w:val="32EE27B2"/>
    <w:rsid w:val="33372789"/>
    <w:rsid w:val="33484A1E"/>
    <w:rsid w:val="335F47E9"/>
    <w:rsid w:val="34522D52"/>
    <w:rsid w:val="346E4104"/>
    <w:rsid w:val="3476470C"/>
    <w:rsid w:val="34D83C16"/>
    <w:rsid w:val="3509315E"/>
    <w:rsid w:val="351A4CC6"/>
    <w:rsid w:val="352340AB"/>
    <w:rsid w:val="359B2FCE"/>
    <w:rsid w:val="35D850E1"/>
    <w:rsid w:val="3625727C"/>
    <w:rsid w:val="36C52BB2"/>
    <w:rsid w:val="36D83CAB"/>
    <w:rsid w:val="373B0ED4"/>
    <w:rsid w:val="376D4B23"/>
    <w:rsid w:val="37705F34"/>
    <w:rsid w:val="377700B0"/>
    <w:rsid w:val="37976F74"/>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111A95"/>
    <w:rsid w:val="3D77737D"/>
    <w:rsid w:val="3DC04E13"/>
    <w:rsid w:val="3DD244E7"/>
    <w:rsid w:val="3E5B41D6"/>
    <w:rsid w:val="3ECE16FA"/>
    <w:rsid w:val="3FF55768"/>
    <w:rsid w:val="40566CBF"/>
    <w:rsid w:val="407921CE"/>
    <w:rsid w:val="40C04FE0"/>
    <w:rsid w:val="40CD3DFD"/>
    <w:rsid w:val="41A105B1"/>
    <w:rsid w:val="41AA7137"/>
    <w:rsid w:val="41FC2424"/>
    <w:rsid w:val="42381A71"/>
    <w:rsid w:val="426B0C9E"/>
    <w:rsid w:val="42841694"/>
    <w:rsid w:val="429266C7"/>
    <w:rsid w:val="42AF1322"/>
    <w:rsid w:val="42C84FA7"/>
    <w:rsid w:val="42E73C10"/>
    <w:rsid w:val="43EE582E"/>
    <w:rsid w:val="43FB3DA4"/>
    <w:rsid w:val="441C4006"/>
    <w:rsid w:val="449E489D"/>
    <w:rsid w:val="44B24294"/>
    <w:rsid w:val="451019FB"/>
    <w:rsid w:val="455B13AC"/>
    <w:rsid w:val="45981D48"/>
    <w:rsid w:val="45CF3CD0"/>
    <w:rsid w:val="460567D8"/>
    <w:rsid w:val="462F25DF"/>
    <w:rsid w:val="46620161"/>
    <w:rsid w:val="47313652"/>
    <w:rsid w:val="47C304FD"/>
    <w:rsid w:val="47C357A6"/>
    <w:rsid w:val="47D77F02"/>
    <w:rsid w:val="487C3875"/>
    <w:rsid w:val="48977283"/>
    <w:rsid w:val="48FA3778"/>
    <w:rsid w:val="49240337"/>
    <w:rsid w:val="49896512"/>
    <w:rsid w:val="4996414B"/>
    <w:rsid w:val="49BA3D71"/>
    <w:rsid w:val="49C27E73"/>
    <w:rsid w:val="4A017308"/>
    <w:rsid w:val="4AA22C8B"/>
    <w:rsid w:val="4AF26B9D"/>
    <w:rsid w:val="4B5C183A"/>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493082A"/>
    <w:rsid w:val="55362923"/>
    <w:rsid w:val="5553143F"/>
    <w:rsid w:val="55835BB5"/>
    <w:rsid w:val="55B42DC5"/>
    <w:rsid w:val="572C4710"/>
    <w:rsid w:val="586B2608"/>
    <w:rsid w:val="592D7AE2"/>
    <w:rsid w:val="593554F0"/>
    <w:rsid w:val="59840ED4"/>
    <w:rsid w:val="5A3078C5"/>
    <w:rsid w:val="5AD075C6"/>
    <w:rsid w:val="5ADF3A74"/>
    <w:rsid w:val="5AE53367"/>
    <w:rsid w:val="5B0B0083"/>
    <w:rsid w:val="5B7C141A"/>
    <w:rsid w:val="5BC3228B"/>
    <w:rsid w:val="5C0961E3"/>
    <w:rsid w:val="5C3B1FEA"/>
    <w:rsid w:val="5CFD674B"/>
    <w:rsid w:val="5D041ECD"/>
    <w:rsid w:val="5E2D4C21"/>
    <w:rsid w:val="5E70786E"/>
    <w:rsid w:val="5EE41E2E"/>
    <w:rsid w:val="5F0F00DA"/>
    <w:rsid w:val="60017F85"/>
    <w:rsid w:val="6038792D"/>
    <w:rsid w:val="6045086B"/>
    <w:rsid w:val="60745B63"/>
    <w:rsid w:val="60B937A9"/>
    <w:rsid w:val="60FE56E9"/>
    <w:rsid w:val="61051332"/>
    <w:rsid w:val="6155106E"/>
    <w:rsid w:val="618D3C04"/>
    <w:rsid w:val="62733B1E"/>
    <w:rsid w:val="62762AC5"/>
    <w:rsid w:val="62B7743E"/>
    <w:rsid w:val="63754386"/>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2613EB"/>
    <w:rsid w:val="6E504618"/>
    <w:rsid w:val="6EB20078"/>
    <w:rsid w:val="6F2B4BD4"/>
    <w:rsid w:val="6F4D6566"/>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1FF4CC1"/>
    <w:rsid w:val="7283496B"/>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F3159A7-E9D0-414E-8F00-668C05F5E065}">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2020-05-15T12:42:37Z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